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b/>
          <w:color w:val="050505"/>
          <w:sz w:val="23"/>
          <w:szCs w:val="23"/>
          <w:lang w:eastAsia="it-IT"/>
        </w:rPr>
        <w:t>Ma il BIOLOGICO è veramente più sano del convenzionale?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/>
      </w:r>
      <w:bookmarkStart w:id="0" w:name="_GoBack"/>
      <w:bookmarkEnd w:id="0"/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Ecco un interessante articolo tratto dal sito www.nutrimi.it 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che fa riferimento a numerosi studi scientifici che confrontano il cibo biologico con quello convenzionale.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Spesso infatti sento dire che il Biologico è una truffa e costa solo di più, ma le ricerche scientifiche qui sotto riportate danno un altro punto di vista, senza considerare il confronto tra l'impatto sul pianeta del Biologico e del convenzionale.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/>
      </w:r>
    </w:p>
    <w:p w:rsid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Buona lettura a voi.</w:t>
      </w:r>
    </w:p>
    <w:p w:rsid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Dr. Marco Bo – Operatore Olistico specializzato in Nutrizione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-----------------------------------------------------------------------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"E' noto che i consumi di frutta e verdura nei bambini siano bassi: una </w:t>
      </w:r>
      <w:proofErr w:type="spellStart"/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review</w:t>
      </w:r>
      <w:proofErr w:type="spellEnd"/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del 2019 che ha preso in esame diversi Paesi europei, ha evidenziato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consumi inferiori alle raccomandazioni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dell'Organizzazione Mondiale della Sanità per tutti i Paesi, ad eccezione della Danimarca(1).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Secondo i dati di </w:t>
      </w:r>
      <w:proofErr w:type="spellStart"/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OKkio</w:t>
      </w:r>
      <w:proofErr w:type="spellEnd"/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alla Salute, in Italia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i bambini che consumano frutta e verdura 5 o più volte al giorno sono solamente l’8,5%(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2). Se si parla molto della necessità di promuovere il consumo di frutta e verdura in età pediatrica,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raramente viene posta l’attenzione sulla loro qualità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In base a un report appena pubblicato dal Ministero della Salute sui residui di prodotti fitosanitari negli alimenti,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frutta e ortaggi sono le categorie alimentari con la più alta percentuale di irregolarità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, seppure questa percentuale sia comunque esigua(3).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/>
      </w:r>
    </w:p>
    <w:p w:rsidR="0057752B" w:rsidRPr="0057752B" w:rsidRDefault="0057752B" w:rsidP="0057752B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Segoe UI Historic"/>
          <w:b/>
          <w:bCs/>
          <w:caps/>
          <w:sz w:val="36"/>
          <w:szCs w:val="36"/>
          <w:lang w:eastAsia="it-IT"/>
        </w:rPr>
      </w:pPr>
      <w:r w:rsidRPr="0057752B">
        <w:rPr>
          <w:rFonts w:ascii="inherit" w:eastAsia="Times New Roman" w:hAnsi="inherit" w:cs="Segoe UI Historic"/>
          <w:b/>
          <w:bCs/>
          <w:caps/>
          <w:sz w:val="36"/>
          <w:szCs w:val="36"/>
          <w:lang w:eastAsia="it-IT"/>
        </w:rPr>
        <w:t xml:space="preserve">HA SENSO CHE I BAMBINI CONSUMINO </w:t>
      </w:r>
    </w:p>
    <w:p w:rsidR="0057752B" w:rsidRPr="0057752B" w:rsidRDefault="0057752B" w:rsidP="0057752B">
      <w:pPr>
        <w:shd w:val="clear" w:color="auto" w:fill="FFFFFF"/>
        <w:spacing w:before="150" w:after="150" w:line="240" w:lineRule="auto"/>
        <w:outlineLvl w:val="1"/>
        <w:rPr>
          <w:rFonts w:ascii="inherit" w:eastAsia="Times New Roman" w:hAnsi="inherit" w:cs="Segoe UI Historic"/>
          <w:b/>
          <w:bCs/>
          <w:caps/>
          <w:sz w:val="36"/>
          <w:szCs w:val="36"/>
          <w:lang w:eastAsia="it-IT"/>
        </w:rPr>
      </w:pPr>
      <w:r w:rsidRPr="0057752B">
        <w:rPr>
          <w:rFonts w:ascii="inherit" w:eastAsia="Times New Roman" w:hAnsi="inherit" w:cs="Segoe UI Historic"/>
          <w:b/>
          <w:bCs/>
          <w:caps/>
          <w:sz w:val="36"/>
          <w:szCs w:val="36"/>
          <w:lang w:eastAsia="it-IT"/>
        </w:rPr>
        <w:t>FRUTTA E VERDURA “BIO”?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/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Dal punto di vista nutrizionale, sembrano effettivamente esservi differenze tra alimenti biologici e convenzionali, variabili in base alla categoria alimentare: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nel caso degli alimenti vegetali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in particolare, sono stati osservati più fosforo e vitamina C,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più polifenoli e meno cadmio (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4).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br/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Per quanto riguarda la sicurezza, generalmente i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prodotti biologici hanno livelli di residui più bassi dei convenzionali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, ma emerge anche in questo caso una spiccata variabilità in base alla categoria alimentare(5). 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Uno studio del 2019 su oltre 2.000 donne provenienti da 6 diversi Paesi europei e i relativi figli individua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 xml:space="preserve">la frutta e la verdura come le principali fonti di esposizione ai pesticidi </w:t>
      </w:r>
      <w:proofErr w:type="spellStart"/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organofosfati</w:t>
      </w:r>
      <w:proofErr w:type="spellEnd"/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: nello stesso studio,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 xml:space="preserve">il consumo di frutta biologica nei bambini è risultato associato a minori livelli di metaboliti di pesticidi </w:t>
      </w:r>
      <w:proofErr w:type="spellStart"/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organofosfati</w:t>
      </w:r>
      <w:proofErr w:type="spellEnd"/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 xml:space="preserve"> (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6).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lastRenderedPageBreak/>
        <w:t xml:space="preserve">Sebbene i prodotti convenzionali contengano residui di pesticidi al di sotto dei valori massimi fissati dalla normativa vigente in un’elevata percentuale di casi, </w:t>
      </w:r>
      <w:r w:rsidRPr="0057752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it-IT"/>
        </w:rPr>
        <w:t>rimane ancora da stabilire quale sia l’effetto combinato di più residui di pesticidi sulla salute (</w:t>
      </w: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7).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 generale, supportare un’alimentazione biologica potrebbe essere un modo efficace per aumentare la qualità dell’alimentazione senza aumentare parallelamente il rischio di esposizione ai pesticidi (6)."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FONTI:</w:t>
      </w:r>
    </w:p>
    <w:p w:rsidR="0057752B" w:rsidRPr="0057752B" w:rsidRDefault="0057752B" w:rsidP="0057752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1. McCarthy, R.,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Kehoe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L.,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Flynn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A., &amp;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Walton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J. (2020). The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role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of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fruit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and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vegetables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in the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diets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of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children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in Europe: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current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state of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knowledge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on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dietary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recommendations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intakes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and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contribution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to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energy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and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nutrient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intakes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.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Proceedings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of the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Nutrition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Society, 1-20. 2.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Nardone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P., Spinelli, A.,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Buoncristiano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M., Lauria, L.,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Pierannunzio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D., &amp; Galeone, D. (2018). Il Sistema di sorveglianza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OKkio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alla SALUTE: risultati 2016. Istituto Superiore della Sanità Technical Report. 3. “Controllo ufficiale sui residui di prodotti fitosanitari negli alimenti - Risultati in Italia per l’anno 2018”. A cura di Ministero Salute. Anno 2020. 4. Mie, A., Andersen, H. R.,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Gunnarsson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S.,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Kahl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J.,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Kesse-Guyot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E.,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Rembiałkowska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E., … &amp;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Grandjean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P. (2017). Human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health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implications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of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organic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food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and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organic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agriculture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: a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comprehensive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review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.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Environmental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Health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16(1), 111. 5.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European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Food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Safety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Authority (2019). The 2017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European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Union report on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pesticide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residues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in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food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. EFSA Journal, 17(6), 5743. 6.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Papadopoulou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E.,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Haug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L. S.,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Sakhi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A. K.,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Andrusaityte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S.,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Basagaña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X.,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Brantsaeter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A. L., … &amp;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Maitre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, L. (2019).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Diet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as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 source of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exposure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to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environmental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contaminants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for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pregnant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women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and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children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from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six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European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countries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.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Environmental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Health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 xml:space="preserve"> </w:t>
      </w:r>
      <w:proofErr w:type="spellStart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Perspectives</w:t>
      </w:r>
      <w:proofErr w:type="spellEnd"/>
      <w:r w:rsidRPr="0057752B">
        <w:rPr>
          <w:rFonts w:ascii="inherit" w:eastAsia="Times New Roman" w:hAnsi="inherit" w:cs="Segoe UI Historic"/>
          <w:i/>
          <w:iCs/>
          <w:color w:val="050505"/>
          <w:sz w:val="23"/>
          <w:szCs w:val="23"/>
          <w:lang w:eastAsia="it-IT"/>
        </w:rPr>
        <w:t>, 127(10), 107005. 7. Consiglio per la ricerca in agricoltura e l’analisi dell’economia agraria (2019). Dossier Scientifico delle Linee Guida per una sana alimentazione (Edizione 2018).</w:t>
      </w:r>
    </w:p>
    <w:p w:rsidR="00C101F2" w:rsidRDefault="0057752B"/>
    <w:sectPr w:rsidR="00C10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B"/>
    <w:rsid w:val="0057752B"/>
    <w:rsid w:val="00D63D4A"/>
    <w:rsid w:val="00D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2020-09-19T10:52:00Z</dcterms:created>
  <dcterms:modified xsi:type="dcterms:W3CDTF">2020-09-19T10:54:00Z</dcterms:modified>
</cp:coreProperties>
</file>